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99" w:rsidRDefault="00AA0C99" w:rsidP="00AA0C99">
      <w:pPr>
        <w:pStyle w:val="1"/>
        <w:spacing w:before="312" w:after="312"/>
      </w:pPr>
      <w:bookmarkStart w:id="0" w:name="_Toc485113083"/>
      <w:bookmarkStart w:id="1" w:name="_Toc492891665"/>
      <w:bookmarkStart w:id="2" w:name="_Toc484532393"/>
      <w:r>
        <w:rPr>
          <w:rFonts w:hint="eastAsia"/>
        </w:rPr>
        <w:t>全日制教育硕士（学科教学</w:t>
      </w:r>
      <w:r>
        <w:rPr>
          <w:rFonts w:hint="eastAsia"/>
        </w:rPr>
        <w:t>.</w:t>
      </w:r>
      <w:r>
        <w:rPr>
          <w:rFonts w:hint="eastAsia"/>
        </w:rPr>
        <w:t>数学）专业学位研究生培养方案</w:t>
      </w:r>
      <w:bookmarkEnd w:id="0"/>
      <w:bookmarkEnd w:id="1"/>
    </w:p>
    <w:p w:rsidR="00AA0C99" w:rsidRDefault="00AA0C99" w:rsidP="00AA0C99">
      <w:pPr>
        <w:pStyle w:val="10"/>
        <w:rPr>
          <w:rFonts w:ascii="Times New Roman" w:hAnsi="Times New Roman"/>
          <w:color w:val="000000"/>
          <w:szCs w:val="28"/>
        </w:rPr>
      </w:pPr>
      <w:r>
        <w:rPr>
          <w:rFonts w:ascii="Times New Roman" w:hAnsi="Times New Roman"/>
          <w:color w:val="000000"/>
        </w:rPr>
        <w:t>045104</w:t>
      </w:r>
    </w:p>
    <w:p w:rsidR="00AA0C99" w:rsidRDefault="00AA0C99" w:rsidP="00AA0C99">
      <w:pPr>
        <w:pStyle w:val="2"/>
        <w:spacing w:before="156" w:after="156"/>
        <w:rPr>
          <w:rFonts w:hAnsi="黑体" w:cs="仿宋"/>
        </w:rPr>
      </w:pPr>
      <w:r>
        <w:rPr>
          <w:rFonts w:hAnsi="黑体" w:cs="仿宋" w:hint="eastAsia"/>
        </w:rPr>
        <w:t>一、</w:t>
      </w:r>
      <w:r>
        <w:rPr>
          <w:rFonts w:hint="eastAsia"/>
        </w:rPr>
        <w:t>学科简介</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sz w:val="24"/>
          <w:szCs w:val="24"/>
        </w:rPr>
        <w:t>根据数学教师职业标准的要求，为提高</w:t>
      </w:r>
      <w:r w:rsidR="00FF34BC" w:rsidRPr="000C35FB">
        <w:rPr>
          <w:rFonts w:ascii="仿宋" w:eastAsia="仿宋" w:hAnsi="仿宋" w:cs="仿宋" w:hint="eastAsia"/>
          <w:sz w:val="24"/>
          <w:szCs w:val="24"/>
        </w:rPr>
        <w:t>基础教育学校和中等职业技术教育学校</w:t>
      </w:r>
      <w:r w:rsidRPr="004A0CB1">
        <w:rPr>
          <w:rFonts w:ascii="仿宋" w:eastAsia="仿宋" w:hAnsi="仿宋"/>
          <w:sz w:val="24"/>
          <w:szCs w:val="24"/>
        </w:rPr>
        <w:t>数学教师的第一学历，特从2009年起设置学科教学（数学）专业。结合我校研究生教学工作与培养教育实际情况，确立人才培养规格为具有扎实的数学专业基础知识、熟练的数学</w:t>
      </w:r>
      <w:r w:rsidR="00BE6F81">
        <w:rPr>
          <w:rFonts w:ascii="仿宋" w:eastAsia="仿宋" w:hAnsi="仿宋" w:hint="eastAsia"/>
          <w:sz w:val="24"/>
          <w:szCs w:val="24"/>
        </w:rPr>
        <w:t>课堂</w:t>
      </w:r>
      <w:r w:rsidRPr="004A0CB1">
        <w:rPr>
          <w:rFonts w:ascii="仿宋" w:eastAsia="仿宋" w:hAnsi="仿宋"/>
          <w:sz w:val="24"/>
          <w:szCs w:val="24"/>
        </w:rPr>
        <w:t>教学技能、有较高的数学教师素养，并能进行一定数学教育教学研究的</w:t>
      </w:r>
      <w:r w:rsidR="007B74B9" w:rsidRPr="007B74B9">
        <w:rPr>
          <w:rFonts w:ascii="仿宋" w:eastAsia="仿宋" w:hAnsi="仿宋" w:hint="eastAsia"/>
          <w:sz w:val="24"/>
          <w:szCs w:val="24"/>
        </w:rPr>
        <w:t>基础教育学校和中等职业技术教育学校</w:t>
      </w:r>
      <w:r w:rsidR="007B74B9">
        <w:rPr>
          <w:rFonts w:ascii="仿宋" w:eastAsia="仿宋" w:hAnsi="仿宋" w:hint="eastAsia"/>
          <w:sz w:val="24"/>
          <w:szCs w:val="24"/>
        </w:rPr>
        <w:t>专任数学教师</w:t>
      </w:r>
      <w:r w:rsidRPr="004A0CB1">
        <w:rPr>
          <w:rFonts w:ascii="仿宋" w:eastAsia="仿宋" w:hAnsi="仿宋"/>
          <w:sz w:val="24"/>
          <w:szCs w:val="24"/>
        </w:rPr>
        <w:t>。</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sz w:val="24"/>
          <w:szCs w:val="24"/>
        </w:rPr>
        <w:t>作为本院的传统优势专业，学科教学（数学）专业硕士的培养基础课程全面，学位课程深入，选修课程灵活；课程授课有集中面授、小型讨论、工作坊等多种形式；既有学分制的课程学习，也有具有专业特色的实践环节。</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sz w:val="24"/>
          <w:szCs w:val="24"/>
        </w:rPr>
        <w:t>本方向导师队伍的学术方向配备齐全、年龄梯度合理，有很强的团队合作精神与能力。本方向</w:t>
      </w:r>
      <w:r w:rsidRPr="004A0CB1">
        <w:rPr>
          <w:rFonts w:ascii="仿宋" w:eastAsia="仿宋" w:hAnsi="仿宋" w:hint="eastAsia"/>
          <w:sz w:val="24"/>
          <w:szCs w:val="24"/>
        </w:rPr>
        <w:t>指导教师</w:t>
      </w:r>
      <w:r w:rsidRPr="004A0CB1">
        <w:rPr>
          <w:rFonts w:ascii="仿宋" w:eastAsia="仿宋" w:hAnsi="仿宋"/>
          <w:sz w:val="24"/>
          <w:szCs w:val="24"/>
        </w:rPr>
        <w:t>的研究领域覆盖了数学教育研究的几乎所有方向：数学课程改革，数学教育心理学、数学教师教育、数学教育国际比较、数学教育测量与评估、技术与数学教育、数学方法论、初等数学建模等等。</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sz w:val="24"/>
          <w:szCs w:val="24"/>
        </w:rPr>
        <w:t>学院与苏州多所优质中</w:t>
      </w:r>
      <w:r w:rsidR="00CD2400">
        <w:rPr>
          <w:rFonts w:ascii="仿宋" w:eastAsia="仿宋" w:hAnsi="仿宋" w:hint="eastAsia"/>
          <w:sz w:val="24"/>
          <w:szCs w:val="24"/>
        </w:rPr>
        <w:t>小</w:t>
      </w:r>
      <w:r w:rsidRPr="004A0CB1">
        <w:rPr>
          <w:rFonts w:ascii="仿宋" w:eastAsia="仿宋" w:hAnsi="仿宋"/>
          <w:sz w:val="24"/>
          <w:szCs w:val="24"/>
        </w:rPr>
        <w:t>学以及特级、高级数学教师有良好的联系，实践基地充裕，不仅能满足数量上的要求，更能在质量上提供保障。基地对实践环节有明确的要求，有监督，有评价机制。</w:t>
      </w:r>
    </w:p>
    <w:p w:rsidR="00AA0C99" w:rsidRDefault="00AA0C99" w:rsidP="00AA0C99">
      <w:pPr>
        <w:pStyle w:val="2"/>
        <w:spacing w:before="156" w:after="156"/>
      </w:pPr>
      <w:r>
        <w:rPr>
          <w:rFonts w:hint="eastAsia"/>
        </w:rPr>
        <w:t>二、培养目标及基本要求</w:t>
      </w:r>
    </w:p>
    <w:p w:rsidR="00AA0C99" w:rsidRPr="009D10D0" w:rsidRDefault="00AA0C99" w:rsidP="009D10D0">
      <w:pPr>
        <w:adjustRightInd w:val="0"/>
        <w:snapToGrid w:val="0"/>
        <w:spacing w:line="312" w:lineRule="auto"/>
        <w:ind w:firstLineChars="200" w:firstLine="482"/>
        <w:rPr>
          <w:rFonts w:ascii="仿宋" w:eastAsia="仿宋" w:hAnsi="仿宋"/>
          <w:b/>
          <w:bCs/>
          <w:sz w:val="24"/>
          <w:szCs w:val="24"/>
        </w:rPr>
      </w:pPr>
      <w:r w:rsidRPr="009D10D0">
        <w:rPr>
          <w:rFonts w:ascii="仿宋" w:eastAsia="仿宋" w:hAnsi="仿宋" w:cs="宋体" w:hint="eastAsia"/>
          <w:b/>
          <w:bCs/>
          <w:sz w:val="24"/>
          <w:szCs w:val="24"/>
        </w:rPr>
        <w:t>培养掌握现代教育理论、具有较强的教育教学实践和研究能力的高素质</w:t>
      </w:r>
      <w:r w:rsidR="009D10D0" w:rsidRPr="009D10D0">
        <w:rPr>
          <w:rFonts w:ascii="仿宋" w:eastAsia="仿宋" w:hAnsi="仿宋" w:cs="仿宋" w:hint="eastAsia"/>
          <w:b/>
          <w:sz w:val="24"/>
          <w:szCs w:val="24"/>
        </w:rPr>
        <w:t>基础教育学校和中等职业技术教育学校</w:t>
      </w:r>
      <w:r w:rsidRPr="009D10D0">
        <w:rPr>
          <w:rFonts w:ascii="仿宋" w:eastAsia="仿宋" w:hAnsi="仿宋" w:cs="宋体" w:hint="eastAsia"/>
          <w:b/>
          <w:bCs/>
          <w:sz w:val="24"/>
          <w:szCs w:val="24"/>
        </w:rPr>
        <w:t>数学专任教师。</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基本要求为：</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1．热爱祖国，拥护中国共产党领导；</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2．热爱教育事业，教书育人，为人师表，积极进取，勇于创新；</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3．具有良好的学识修养和扎实的专业基础；</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4．关注并了解国内外数学课程改革的发展动态，熟悉基础教育数学课程改革，掌握数学课程改革的新理念、新内容、新方法；</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5．具有较强的教育实践能力，能胜任</w:t>
      </w:r>
      <w:r w:rsidR="00CD2400" w:rsidRPr="00C32DA3">
        <w:rPr>
          <w:rFonts w:ascii="仿宋" w:eastAsia="仿宋" w:hAnsi="仿宋" w:cs="仿宋" w:hint="eastAsia"/>
          <w:sz w:val="24"/>
          <w:szCs w:val="24"/>
        </w:rPr>
        <w:t>基础教育学校和中等职业技术教育学</w:t>
      </w:r>
      <w:r w:rsidR="00CD2400" w:rsidRPr="00C32DA3">
        <w:rPr>
          <w:rFonts w:ascii="仿宋" w:eastAsia="仿宋" w:hAnsi="仿宋" w:cs="仿宋" w:hint="eastAsia"/>
          <w:sz w:val="24"/>
          <w:szCs w:val="24"/>
        </w:rPr>
        <w:lastRenderedPageBreak/>
        <w:t>校的</w:t>
      </w:r>
      <w:r w:rsidRPr="004A0CB1">
        <w:rPr>
          <w:rFonts w:ascii="仿宋" w:eastAsia="仿宋" w:hAnsi="仿宋" w:cs="仿宋" w:hint="eastAsia"/>
          <w:sz w:val="24"/>
          <w:szCs w:val="24"/>
        </w:rPr>
        <w:t>数学教育教学工作。在现代教育理论指导下运用所学理论和方法，熟练使用现代</w:t>
      </w:r>
      <w:r w:rsidR="007B74B9">
        <w:rPr>
          <w:rFonts w:ascii="仿宋" w:eastAsia="仿宋" w:hAnsi="仿宋" w:cs="仿宋" w:hint="eastAsia"/>
          <w:sz w:val="24"/>
          <w:szCs w:val="24"/>
        </w:rPr>
        <w:t>数学</w:t>
      </w:r>
      <w:r w:rsidRPr="004A0CB1">
        <w:rPr>
          <w:rFonts w:ascii="仿宋" w:eastAsia="仿宋" w:hAnsi="仿宋" w:cs="仿宋" w:hint="eastAsia"/>
          <w:sz w:val="24"/>
          <w:szCs w:val="24"/>
        </w:rPr>
        <w:t>教育技术，解决</w:t>
      </w:r>
      <w:r w:rsidR="00CD2400" w:rsidRPr="00C32DA3">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数学教育教学中的实际问题；能理论结合实践，发挥自身优势，开展创造性的</w:t>
      </w:r>
      <w:r w:rsidR="00CD2400">
        <w:rPr>
          <w:rFonts w:ascii="仿宋" w:eastAsia="仿宋" w:hAnsi="仿宋" w:cs="仿宋" w:hint="eastAsia"/>
          <w:sz w:val="24"/>
          <w:szCs w:val="24"/>
        </w:rPr>
        <w:t>数学</w:t>
      </w:r>
      <w:r w:rsidRPr="004A0CB1">
        <w:rPr>
          <w:rFonts w:ascii="仿宋" w:eastAsia="仿宋" w:hAnsi="仿宋" w:cs="仿宋" w:hint="eastAsia"/>
          <w:sz w:val="24"/>
          <w:szCs w:val="24"/>
        </w:rPr>
        <w:t>教育教学工作；</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6．了解数学教育研究的特点、前沿和发展趋势；</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7．能较为熟练地阅读数学教育</w:t>
      </w:r>
      <w:r w:rsidR="00CD2400">
        <w:rPr>
          <w:rFonts w:ascii="仿宋" w:eastAsia="仿宋" w:hAnsi="仿宋" w:cs="仿宋" w:hint="eastAsia"/>
          <w:sz w:val="24"/>
          <w:szCs w:val="24"/>
        </w:rPr>
        <w:t>领域</w:t>
      </w:r>
      <w:r w:rsidRPr="004A0CB1">
        <w:rPr>
          <w:rFonts w:ascii="仿宋" w:eastAsia="仿宋" w:hAnsi="仿宋" w:cs="仿宋" w:hint="eastAsia"/>
          <w:sz w:val="24"/>
          <w:szCs w:val="24"/>
        </w:rPr>
        <w:t>的外文文献资料。</w:t>
      </w:r>
    </w:p>
    <w:p w:rsidR="00AA0C99" w:rsidRDefault="00AA0C99" w:rsidP="00AA0C99">
      <w:pPr>
        <w:pStyle w:val="2"/>
        <w:spacing w:before="156" w:after="156"/>
      </w:pPr>
      <w:r>
        <w:rPr>
          <w:rFonts w:hint="eastAsia"/>
        </w:rPr>
        <w:t>三、招生对象、培养年限与培养方式</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1．具有大学本科学历（或本科同等学力）的人员均可报考本专业；</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hint="eastAsia"/>
          <w:sz w:val="24"/>
          <w:szCs w:val="24"/>
        </w:rPr>
        <w:t>2．</w:t>
      </w:r>
      <w:r w:rsidRPr="004A0CB1">
        <w:rPr>
          <w:rFonts w:ascii="仿宋" w:eastAsia="仿宋" w:hAnsi="仿宋" w:cs="仿宋" w:hint="eastAsia"/>
          <w:sz w:val="24"/>
          <w:szCs w:val="24"/>
        </w:rPr>
        <w:t>学科教学（数学）专业学位型研究生学制</w:t>
      </w:r>
      <w:r w:rsidRPr="004A0CB1">
        <w:rPr>
          <w:rFonts w:ascii="仿宋" w:eastAsia="仿宋" w:hAnsi="仿宋" w:cs="仿宋"/>
          <w:sz w:val="24"/>
          <w:szCs w:val="24"/>
        </w:rPr>
        <w:t>2-3</w:t>
      </w:r>
      <w:r w:rsidRPr="004A0CB1">
        <w:rPr>
          <w:rFonts w:ascii="仿宋" w:eastAsia="仿宋" w:hAnsi="仿宋" w:cs="仿宋" w:hint="eastAsia"/>
          <w:sz w:val="24"/>
          <w:szCs w:val="24"/>
        </w:rPr>
        <w:t>年，学习年限最长不超过</w:t>
      </w:r>
      <w:r w:rsidRPr="004A0CB1">
        <w:rPr>
          <w:rFonts w:ascii="仿宋" w:eastAsia="仿宋" w:hAnsi="仿宋" w:cs="仿宋"/>
          <w:sz w:val="24"/>
          <w:szCs w:val="24"/>
        </w:rPr>
        <w:t>5</w:t>
      </w:r>
      <w:r w:rsidRPr="004A0CB1">
        <w:rPr>
          <w:rFonts w:ascii="仿宋" w:eastAsia="仿宋" w:hAnsi="仿宋" w:cs="仿宋" w:hint="eastAsia"/>
          <w:sz w:val="24"/>
          <w:szCs w:val="24"/>
        </w:rPr>
        <w:t>年；</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hint="eastAsia"/>
          <w:sz w:val="24"/>
          <w:szCs w:val="24"/>
        </w:rPr>
        <w:t>3．</w:t>
      </w:r>
      <w:r w:rsidRPr="004A0CB1">
        <w:rPr>
          <w:rFonts w:ascii="仿宋" w:eastAsia="仿宋" w:hAnsi="仿宋" w:cs="仿宋" w:hint="eastAsia"/>
          <w:sz w:val="24"/>
          <w:szCs w:val="24"/>
        </w:rPr>
        <w:t>学科教学（数学）专业学位型研究生的培养方式为第一学年的第一学期完成学位基础课程以及部分专业必修课程的学习；第一学年的第二学期完成专业必修课程和专业选修课程的学习，同时进行初步的实践教学，学期末完成毕业论文的选题工作；第二学年的第一学期进行完整的实践教学，并同时进行学位论文的调查研究工作，接受中期考核；第二学年的第二学期完成论文的撰写、修改、答辩工作。</w:t>
      </w:r>
    </w:p>
    <w:p w:rsidR="00AA0C99" w:rsidRDefault="00AA0C99" w:rsidP="00AA0C99">
      <w:pPr>
        <w:pStyle w:val="2"/>
        <w:spacing w:before="156" w:after="156"/>
      </w:pPr>
      <w:r>
        <w:rPr>
          <w:rFonts w:hint="eastAsia"/>
        </w:rPr>
        <w:t>四、学分要求和课程设置</w:t>
      </w:r>
    </w:p>
    <w:p w:rsidR="00AA0C99" w:rsidRPr="004A0CB1" w:rsidRDefault="00AA0C99" w:rsidP="00AA0C99">
      <w:pPr>
        <w:adjustRightInd w:val="0"/>
        <w:snapToGrid w:val="0"/>
        <w:spacing w:line="312" w:lineRule="auto"/>
        <w:ind w:firstLineChars="200" w:firstLine="482"/>
        <w:rPr>
          <w:rFonts w:ascii="仿宋" w:eastAsia="仿宋" w:hAnsi="仿宋"/>
          <w:b/>
          <w:bCs/>
          <w:sz w:val="24"/>
          <w:szCs w:val="24"/>
        </w:rPr>
      </w:pPr>
      <w:r w:rsidRPr="004A0CB1">
        <w:rPr>
          <w:rFonts w:ascii="仿宋" w:eastAsia="仿宋" w:hAnsi="仿宋"/>
          <w:b/>
          <w:bCs/>
          <w:sz w:val="24"/>
          <w:szCs w:val="24"/>
        </w:rPr>
        <w:t>课程设置实行学分制，分为学位基础课程</w:t>
      </w:r>
      <w:r w:rsidRPr="004A0CB1">
        <w:rPr>
          <w:rFonts w:ascii="仿宋" w:eastAsia="仿宋" w:hAnsi="仿宋" w:hint="eastAsia"/>
          <w:b/>
          <w:bCs/>
          <w:sz w:val="24"/>
          <w:szCs w:val="24"/>
        </w:rPr>
        <w:t>、</w:t>
      </w:r>
      <w:r w:rsidRPr="004A0CB1">
        <w:rPr>
          <w:rFonts w:ascii="仿宋" w:eastAsia="仿宋" w:hAnsi="仿宋"/>
          <w:b/>
          <w:bCs/>
          <w:sz w:val="24"/>
          <w:szCs w:val="24"/>
        </w:rPr>
        <w:t>专业</w:t>
      </w:r>
      <w:r w:rsidRPr="004A0CB1">
        <w:rPr>
          <w:rFonts w:ascii="仿宋" w:eastAsia="仿宋" w:hAnsi="仿宋" w:hint="eastAsia"/>
          <w:b/>
          <w:bCs/>
          <w:sz w:val="24"/>
          <w:szCs w:val="24"/>
        </w:rPr>
        <w:t>必修</w:t>
      </w:r>
      <w:r w:rsidRPr="004A0CB1">
        <w:rPr>
          <w:rFonts w:ascii="仿宋" w:eastAsia="仿宋" w:hAnsi="仿宋"/>
          <w:b/>
          <w:bCs/>
          <w:sz w:val="24"/>
          <w:szCs w:val="24"/>
        </w:rPr>
        <w:t>课程</w:t>
      </w:r>
      <w:r w:rsidRPr="004A0CB1">
        <w:rPr>
          <w:rFonts w:ascii="仿宋" w:eastAsia="仿宋" w:hAnsi="仿宋" w:hint="eastAsia"/>
          <w:b/>
          <w:bCs/>
          <w:sz w:val="24"/>
          <w:szCs w:val="24"/>
        </w:rPr>
        <w:t>、</w:t>
      </w:r>
      <w:r w:rsidRPr="004A0CB1">
        <w:rPr>
          <w:rFonts w:ascii="仿宋" w:eastAsia="仿宋" w:hAnsi="仿宋"/>
          <w:b/>
          <w:bCs/>
          <w:sz w:val="24"/>
          <w:szCs w:val="24"/>
        </w:rPr>
        <w:t>专业选修课程，</w:t>
      </w:r>
      <w:r w:rsidRPr="004A0CB1">
        <w:rPr>
          <w:rFonts w:ascii="仿宋" w:eastAsia="仿宋" w:hAnsi="仿宋" w:hint="eastAsia"/>
          <w:b/>
          <w:bCs/>
          <w:sz w:val="24"/>
          <w:szCs w:val="24"/>
        </w:rPr>
        <w:t>必修环节（开题报告、中期考核、实践教学等）四大</w:t>
      </w:r>
      <w:r w:rsidRPr="004A0CB1">
        <w:rPr>
          <w:rFonts w:ascii="仿宋" w:eastAsia="仿宋" w:hAnsi="仿宋"/>
          <w:b/>
          <w:bCs/>
          <w:sz w:val="24"/>
          <w:szCs w:val="24"/>
        </w:rPr>
        <w:t>模块，充分体现理论与实践相结合的原则。</w:t>
      </w:r>
    </w:p>
    <w:p w:rsidR="00AA0C99" w:rsidRPr="004A0CB1" w:rsidRDefault="00AA0C99" w:rsidP="00AA0C99">
      <w:pPr>
        <w:adjustRightInd w:val="0"/>
        <w:snapToGrid w:val="0"/>
        <w:spacing w:line="312" w:lineRule="auto"/>
        <w:ind w:firstLineChars="200" w:firstLine="480"/>
        <w:rPr>
          <w:rFonts w:ascii="楷体" w:eastAsia="楷体" w:hAnsi="楷体"/>
          <w:sz w:val="24"/>
          <w:szCs w:val="24"/>
        </w:rPr>
      </w:pPr>
      <w:r w:rsidRPr="004A0CB1">
        <w:rPr>
          <w:rFonts w:ascii="仿宋" w:eastAsia="仿宋" w:hAnsi="仿宋" w:hint="eastAsia"/>
          <w:sz w:val="24"/>
          <w:szCs w:val="24"/>
        </w:rPr>
        <w:t>1</w:t>
      </w:r>
      <w:r w:rsidRPr="004A0CB1">
        <w:rPr>
          <w:rFonts w:ascii="仿宋" w:eastAsia="仿宋" w:hAnsi="仿宋" w:cs="仿宋" w:hint="eastAsia"/>
          <w:sz w:val="24"/>
          <w:szCs w:val="24"/>
        </w:rPr>
        <w:t>．</w:t>
      </w:r>
      <w:r w:rsidRPr="004A0CB1">
        <w:rPr>
          <w:rFonts w:ascii="仿宋" w:eastAsia="仿宋" w:hAnsi="仿宋"/>
          <w:b/>
          <w:bCs/>
          <w:sz w:val="24"/>
          <w:szCs w:val="24"/>
        </w:rPr>
        <w:t>学位基础课程</w:t>
      </w:r>
      <w:r w:rsidRPr="004A0CB1">
        <w:rPr>
          <w:rFonts w:ascii="仿宋" w:eastAsia="仿宋" w:hAnsi="仿宋" w:hint="eastAsia"/>
          <w:b/>
          <w:bCs/>
          <w:sz w:val="24"/>
          <w:szCs w:val="24"/>
        </w:rPr>
        <w:t>（14学分）</w:t>
      </w:r>
      <w:r w:rsidRPr="004A0CB1">
        <w:rPr>
          <w:rFonts w:ascii="仿宋" w:eastAsia="仿宋" w:hAnsi="仿宋"/>
          <w:b/>
          <w:bCs/>
          <w:sz w:val="24"/>
          <w:szCs w:val="24"/>
        </w:rPr>
        <w:t>包括</w:t>
      </w:r>
      <w:r w:rsidRPr="004A0CB1">
        <w:rPr>
          <w:rFonts w:ascii="楷体" w:eastAsia="楷体" w:hAnsi="楷体"/>
          <w:sz w:val="24"/>
          <w:szCs w:val="24"/>
        </w:rPr>
        <w:t>英语</w:t>
      </w:r>
      <w:r w:rsidRPr="004A0CB1">
        <w:rPr>
          <w:rFonts w:ascii="楷体" w:eastAsia="楷体" w:hAnsi="楷体" w:hint="eastAsia"/>
          <w:sz w:val="24"/>
          <w:szCs w:val="24"/>
        </w:rPr>
        <w:t>、中国特色社会主义理论与实践研究、</w:t>
      </w:r>
      <w:r w:rsidRPr="004A0CB1">
        <w:rPr>
          <w:rFonts w:ascii="楷体" w:eastAsia="楷体" w:hAnsi="楷体"/>
          <w:sz w:val="24"/>
          <w:szCs w:val="24"/>
        </w:rPr>
        <w:t>自然辩证法</w:t>
      </w:r>
      <w:r w:rsidRPr="004A0CB1">
        <w:rPr>
          <w:rFonts w:ascii="楷体" w:eastAsia="楷体" w:hAnsi="楷体" w:hint="eastAsia"/>
          <w:sz w:val="24"/>
          <w:szCs w:val="24"/>
        </w:rPr>
        <w:t>、</w:t>
      </w:r>
      <w:r w:rsidRPr="004A0CB1">
        <w:rPr>
          <w:rFonts w:ascii="楷体" w:eastAsia="楷体" w:hAnsi="楷体"/>
          <w:sz w:val="24"/>
          <w:szCs w:val="24"/>
        </w:rPr>
        <w:t>教育学原理、课程与教学论</w:t>
      </w:r>
      <w:r w:rsidRPr="004A0CB1">
        <w:rPr>
          <w:rFonts w:ascii="楷体" w:eastAsia="楷体" w:hAnsi="楷体" w:hint="eastAsia"/>
          <w:sz w:val="24"/>
          <w:szCs w:val="24"/>
        </w:rPr>
        <w:t>、</w:t>
      </w:r>
      <w:r w:rsidRPr="004A0CB1">
        <w:rPr>
          <w:rFonts w:ascii="楷体" w:eastAsia="楷体" w:hAnsi="楷体"/>
          <w:sz w:val="24"/>
          <w:szCs w:val="24"/>
        </w:rPr>
        <w:t>青少年心理发展与教育、中小学教育研究方法</w:t>
      </w:r>
      <w:r w:rsidRPr="004A0CB1">
        <w:rPr>
          <w:rFonts w:ascii="楷体" w:eastAsia="楷体" w:hAnsi="楷体" w:hint="eastAsia"/>
          <w:sz w:val="24"/>
          <w:szCs w:val="24"/>
        </w:rPr>
        <w:t>。</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hint="eastAsia"/>
          <w:sz w:val="24"/>
          <w:szCs w:val="24"/>
        </w:rPr>
        <w:t>2</w:t>
      </w:r>
      <w:r w:rsidRPr="004A0CB1">
        <w:rPr>
          <w:rFonts w:ascii="仿宋" w:eastAsia="仿宋" w:hAnsi="仿宋" w:cs="仿宋" w:hint="eastAsia"/>
          <w:sz w:val="24"/>
          <w:szCs w:val="24"/>
        </w:rPr>
        <w:t>．</w:t>
      </w:r>
      <w:r w:rsidRPr="004A0CB1">
        <w:rPr>
          <w:rFonts w:ascii="仿宋" w:eastAsia="仿宋" w:hAnsi="仿宋"/>
          <w:b/>
          <w:bCs/>
          <w:sz w:val="24"/>
          <w:szCs w:val="24"/>
        </w:rPr>
        <w:t>专业</w:t>
      </w:r>
      <w:r w:rsidRPr="004A0CB1">
        <w:rPr>
          <w:rFonts w:ascii="仿宋" w:eastAsia="仿宋" w:hAnsi="仿宋" w:hint="eastAsia"/>
          <w:b/>
          <w:bCs/>
          <w:sz w:val="24"/>
          <w:szCs w:val="24"/>
        </w:rPr>
        <w:t>必修</w:t>
      </w:r>
      <w:r w:rsidRPr="004A0CB1">
        <w:rPr>
          <w:rFonts w:ascii="仿宋" w:eastAsia="仿宋" w:hAnsi="仿宋"/>
          <w:b/>
          <w:bCs/>
          <w:sz w:val="24"/>
          <w:szCs w:val="24"/>
        </w:rPr>
        <w:t>课程</w:t>
      </w:r>
      <w:r w:rsidRPr="004A0CB1">
        <w:rPr>
          <w:rFonts w:ascii="仿宋" w:eastAsia="仿宋" w:hAnsi="仿宋"/>
          <w:bCs/>
          <w:sz w:val="24"/>
          <w:szCs w:val="24"/>
        </w:rPr>
        <w:t>（1</w:t>
      </w:r>
      <w:r w:rsidRPr="004A0CB1">
        <w:rPr>
          <w:rFonts w:ascii="仿宋" w:eastAsia="仿宋" w:hAnsi="仿宋" w:hint="eastAsia"/>
          <w:bCs/>
          <w:sz w:val="24"/>
          <w:szCs w:val="24"/>
        </w:rPr>
        <w:t>0</w:t>
      </w:r>
      <w:r w:rsidRPr="004A0CB1">
        <w:rPr>
          <w:rFonts w:ascii="仿宋" w:eastAsia="仿宋" w:hAnsi="仿宋"/>
          <w:bCs/>
          <w:sz w:val="24"/>
          <w:szCs w:val="24"/>
        </w:rPr>
        <w:t>学分）</w:t>
      </w:r>
      <w:r w:rsidRPr="004A0CB1">
        <w:rPr>
          <w:rFonts w:ascii="仿宋" w:eastAsia="仿宋" w:hAnsi="仿宋"/>
          <w:b/>
          <w:bCs/>
          <w:sz w:val="24"/>
          <w:szCs w:val="24"/>
        </w:rPr>
        <w:t>包括</w:t>
      </w:r>
      <w:r w:rsidRPr="004A0CB1">
        <w:rPr>
          <w:rFonts w:ascii="仿宋" w:eastAsia="仿宋" w:hAnsi="仿宋"/>
          <w:sz w:val="24"/>
          <w:szCs w:val="24"/>
        </w:rPr>
        <w:t>数学</w:t>
      </w:r>
      <w:r w:rsidRPr="004A0CB1">
        <w:rPr>
          <w:rFonts w:ascii="仿宋" w:eastAsia="仿宋" w:hAnsi="仿宋" w:hint="eastAsia"/>
          <w:sz w:val="24"/>
          <w:szCs w:val="24"/>
        </w:rPr>
        <w:t>课程与教材研究</w:t>
      </w:r>
      <w:r w:rsidRPr="004A0CB1">
        <w:rPr>
          <w:rFonts w:ascii="仿宋" w:eastAsia="仿宋" w:hAnsi="仿宋"/>
          <w:sz w:val="24"/>
          <w:szCs w:val="24"/>
        </w:rPr>
        <w:t>，</w:t>
      </w:r>
      <w:r w:rsidRPr="004A0CB1">
        <w:rPr>
          <w:rFonts w:ascii="仿宋" w:eastAsia="仿宋" w:hAnsi="仿宋" w:hint="eastAsia"/>
          <w:sz w:val="24"/>
          <w:szCs w:val="24"/>
        </w:rPr>
        <w:t>中小学数学教学设计案例研究，</w:t>
      </w:r>
      <w:r w:rsidRPr="004A0CB1">
        <w:rPr>
          <w:rFonts w:ascii="仿宋" w:eastAsia="仿宋" w:hAnsi="仿宋"/>
          <w:sz w:val="24"/>
          <w:szCs w:val="24"/>
        </w:rPr>
        <w:t>数学教育心理学、数学教育研究方法、数学教育测量与评价</w:t>
      </w:r>
      <w:r w:rsidRPr="004A0CB1">
        <w:rPr>
          <w:rFonts w:ascii="仿宋" w:eastAsia="仿宋" w:hAnsi="仿宋" w:hint="eastAsia"/>
          <w:sz w:val="24"/>
          <w:szCs w:val="24"/>
        </w:rPr>
        <w:t>。</w:t>
      </w:r>
      <w:r w:rsidRPr="004A0CB1">
        <w:rPr>
          <w:rFonts w:ascii="仿宋" w:eastAsia="仿宋" w:hAnsi="仿宋"/>
          <w:sz w:val="24"/>
          <w:szCs w:val="24"/>
        </w:rPr>
        <w:t>除了在理论方面介绍各方向的经典理论以及各分支的前沿发展，还同时结合专业硕士的实践要求，分析各分支的研究案例为专业硕士站在高观点下研究中小学数学</w:t>
      </w:r>
      <w:r w:rsidRPr="004A0CB1">
        <w:rPr>
          <w:rFonts w:ascii="仿宋" w:eastAsia="仿宋" w:hAnsi="仿宋" w:hint="eastAsia"/>
          <w:sz w:val="24"/>
          <w:szCs w:val="24"/>
        </w:rPr>
        <w:t>教学</w:t>
      </w:r>
      <w:r w:rsidRPr="004A0CB1">
        <w:rPr>
          <w:rFonts w:ascii="仿宋" w:eastAsia="仿宋" w:hAnsi="仿宋"/>
          <w:sz w:val="24"/>
          <w:szCs w:val="24"/>
        </w:rPr>
        <w:t>、了解与分析中小学生数学学习的心理基础与过程、进行中小学数学教育教学活动的设计等奠定坚实的基础。</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hint="eastAsia"/>
          <w:sz w:val="24"/>
          <w:szCs w:val="24"/>
        </w:rPr>
        <w:t>3</w:t>
      </w:r>
      <w:r w:rsidRPr="004A0CB1">
        <w:rPr>
          <w:rFonts w:ascii="仿宋" w:eastAsia="仿宋" w:hAnsi="仿宋" w:cs="仿宋" w:hint="eastAsia"/>
          <w:sz w:val="24"/>
          <w:szCs w:val="24"/>
        </w:rPr>
        <w:t>．</w:t>
      </w:r>
      <w:r w:rsidRPr="004A0CB1">
        <w:rPr>
          <w:rFonts w:ascii="仿宋" w:eastAsia="仿宋" w:hAnsi="仿宋"/>
          <w:b/>
          <w:bCs/>
          <w:sz w:val="24"/>
          <w:szCs w:val="24"/>
        </w:rPr>
        <w:t>专业选修课程</w:t>
      </w:r>
      <w:r w:rsidRPr="004A0CB1">
        <w:rPr>
          <w:rFonts w:ascii="仿宋" w:eastAsia="仿宋" w:hAnsi="仿宋"/>
          <w:bCs/>
          <w:sz w:val="24"/>
          <w:szCs w:val="24"/>
        </w:rPr>
        <w:t>（</w:t>
      </w:r>
      <w:r w:rsidRPr="004A0CB1">
        <w:rPr>
          <w:rFonts w:ascii="仿宋" w:eastAsia="仿宋" w:hAnsi="仿宋" w:hint="eastAsia"/>
          <w:bCs/>
          <w:sz w:val="24"/>
          <w:szCs w:val="24"/>
        </w:rPr>
        <w:t>不少于</w:t>
      </w:r>
      <w:r w:rsidRPr="004A0CB1">
        <w:rPr>
          <w:rFonts w:ascii="仿宋" w:eastAsia="仿宋" w:hAnsi="仿宋"/>
          <w:bCs/>
          <w:sz w:val="24"/>
          <w:szCs w:val="24"/>
        </w:rPr>
        <w:t>6个学分）</w:t>
      </w:r>
      <w:r w:rsidRPr="004A0CB1">
        <w:rPr>
          <w:rFonts w:ascii="仿宋" w:eastAsia="仿宋" w:hAnsi="仿宋" w:hint="eastAsia"/>
          <w:bCs/>
          <w:sz w:val="24"/>
          <w:szCs w:val="24"/>
        </w:rPr>
        <w:t>，</w:t>
      </w:r>
      <w:r w:rsidRPr="004A0CB1">
        <w:rPr>
          <w:rFonts w:ascii="仿宋" w:eastAsia="仿宋" w:hAnsi="仿宋" w:hint="eastAsia"/>
          <w:b/>
          <w:bCs/>
          <w:sz w:val="24"/>
          <w:szCs w:val="24"/>
        </w:rPr>
        <w:t>包括</w:t>
      </w:r>
      <w:r w:rsidRPr="004A0CB1">
        <w:rPr>
          <w:rFonts w:ascii="仿宋" w:eastAsia="仿宋" w:hAnsi="仿宋" w:hint="eastAsia"/>
          <w:sz w:val="24"/>
          <w:szCs w:val="24"/>
        </w:rPr>
        <w:t>高观点下的初等数学、数学方法论与解题研究、</w:t>
      </w:r>
      <w:r w:rsidRPr="004A0CB1">
        <w:rPr>
          <w:rFonts w:ascii="仿宋" w:eastAsia="仿宋" w:hAnsi="仿宋"/>
          <w:sz w:val="24"/>
          <w:szCs w:val="24"/>
        </w:rPr>
        <w:t>数学教育国际比较研究</w:t>
      </w:r>
      <w:r w:rsidRPr="004A0CB1">
        <w:rPr>
          <w:rFonts w:ascii="仿宋" w:eastAsia="仿宋" w:hAnsi="仿宋" w:hint="eastAsia"/>
          <w:sz w:val="24"/>
          <w:szCs w:val="24"/>
        </w:rPr>
        <w:t>、</w:t>
      </w:r>
      <w:r w:rsidRPr="004A0CB1">
        <w:rPr>
          <w:rFonts w:ascii="仿宋" w:eastAsia="仿宋" w:hAnsi="仿宋"/>
          <w:sz w:val="24"/>
          <w:szCs w:val="24"/>
        </w:rPr>
        <w:t>中数建模与CAI</w:t>
      </w:r>
      <w:r w:rsidRPr="004A0CB1">
        <w:rPr>
          <w:rFonts w:ascii="仿宋" w:eastAsia="仿宋" w:hAnsi="仿宋" w:hint="eastAsia"/>
          <w:sz w:val="24"/>
          <w:szCs w:val="24"/>
        </w:rPr>
        <w:t>、数学教育哲学等，选修课的</w:t>
      </w:r>
      <w:r w:rsidRPr="004A0CB1">
        <w:rPr>
          <w:rFonts w:ascii="仿宋" w:eastAsia="仿宋" w:hAnsi="仿宋"/>
          <w:sz w:val="24"/>
          <w:szCs w:val="24"/>
        </w:rPr>
        <w:t>设计为专业硕士展开了</w:t>
      </w:r>
      <w:r w:rsidRPr="004A0CB1">
        <w:rPr>
          <w:rFonts w:ascii="仿宋" w:eastAsia="仿宋" w:hAnsi="仿宋" w:hint="eastAsia"/>
          <w:sz w:val="24"/>
          <w:szCs w:val="24"/>
        </w:rPr>
        <w:t>与</w:t>
      </w:r>
      <w:r w:rsidRPr="004A0CB1">
        <w:rPr>
          <w:rFonts w:ascii="仿宋" w:eastAsia="仿宋" w:hAnsi="仿宋"/>
          <w:sz w:val="24"/>
          <w:szCs w:val="24"/>
        </w:rPr>
        <w:t>中小学数学教育</w:t>
      </w:r>
      <w:r w:rsidRPr="004A0CB1">
        <w:rPr>
          <w:rFonts w:ascii="仿宋" w:eastAsia="仿宋" w:hAnsi="仿宋" w:hint="eastAsia"/>
          <w:sz w:val="24"/>
          <w:szCs w:val="24"/>
        </w:rPr>
        <w:t>教学有关</w:t>
      </w:r>
      <w:r w:rsidRPr="004A0CB1">
        <w:rPr>
          <w:rFonts w:ascii="仿宋" w:eastAsia="仿宋" w:hAnsi="仿宋"/>
          <w:sz w:val="24"/>
          <w:szCs w:val="24"/>
        </w:rPr>
        <w:t>的更多分支，为他们选择自己的专攻方向提供了条件，而且</w:t>
      </w:r>
      <w:r w:rsidRPr="004A0CB1">
        <w:rPr>
          <w:rFonts w:ascii="仿宋" w:eastAsia="仿宋" w:hAnsi="仿宋"/>
          <w:b/>
          <w:bCs/>
          <w:sz w:val="24"/>
          <w:szCs w:val="24"/>
        </w:rPr>
        <w:t>课程的教学方式</w:t>
      </w:r>
      <w:r w:rsidRPr="004A0CB1">
        <w:rPr>
          <w:rFonts w:ascii="仿宋" w:eastAsia="仿宋" w:hAnsi="仿宋"/>
          <w:sz w:val="24"/>
          <w:szCs w:val="24"/>
        </w:rPr>
        <w:t>重视理论与实践的结合，课</w:t>
      </w:r>
      <w:r w:rsidRPr="004A0CB1">
        <w:rPr>
          <w:rFonts w:ascii="仿宋" w:eastAsia="仿宋" w:hAnsi="仿宋"/>
          <w:sz w:val="24"/>
          <w:szCs w:val="24"/>
        </w:rPr>
        <w:lastRenderedPageBreak/>
        <w:t>堂讨论，小组研讨，合作学习，案例教学与分析等都是经常采用的教学方式。</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hint="eastAsia"/>
          <w:sz w:val="24"/>
          <w:szCs w:val="24"/>
        </w:rPr>
        <w:t>4</w:t>
      </w:r>
      <w:r w:rsidRPr="004A0CB1">
        <w:rPr>
          <w:rFonts w:ascii="仿宋" w:eastAsia="仿宋" w:hAnsi="仿宋" w:cs="仿宋" w:hint="eastAsia"/>
          <w:sz w:val="24"/>
          <w:szCs w:val="24"/>
        </w:rPr>
        <w:t>．</w:t>
      </w:r>
      <w:r w:rsidRPr="004A0CB1">
        <w:rPr>
          <w:rFonts w:ascii="仿宋" w:eastAsia="仿宋" w:hAnsi="仿宋"/>
          <w:b/>
          <w:sz w:val="24"/>
          <w:szCs w:val="24"/>
        </w:rPr>
        <w:t>实践教学</w:t>
      </w:r>
      <w:r w:rsidRPr="004A0CB1">
        <w:rPr>
          <w:rFonts w:ascii="仿宋" w:eastAsia="仿宋" w:hAnsi="仿宋" w:hint="eastAsia"/>
          <w:sz w:val="24"/>
          <w:szCs w:val="24"/>
        </w:rPr>
        <w:t>（8</w:t>
      </w:r>
      <w:r w:rsidRPr="004A0CB1">
        <w:rPr>
          <w:rFonts w:ascii="仿宋" w:eastAsia="仿宋" w:hAnsi="仿宋"/>
          <w:sz w:val="24"/>
          <w:szCs w:val="24"/>
        </w:rPr>
        <w:t>个学分</w:t>
      </w:r>
      <w:r w:rsidRPr="004A0CB1">
        <w:rPr>
          <w:rFonts w:ascii="仿宋" w:eastAsia="仿宋" w:hAnsi="仿宋" w:hint="eastAsia"/>
          <w:sz w:val="24"/>
          <w:szCs w:val="24"/>
        </w:rPr>
        <w:t>）分为校内实训和校外实践两部分。校内实训主要</w:t>
      </w:r>
      <w:r w:rsidRPr="004A0CB1">
        <w:rPr>
          <w:rFonts w:ascii="仿宋" w:eastAsia="仿宋" w:hAnsi="仿宋"/>
          <w:sz w:val="24"/>
          <w:szCs w:val="24"/>
        </w:rPr>
        <w:t>在本科师范生的两门专业基础课程——中学数学教材教法（一）、中学数学教材教法（二）以及专业必修课程——模拟教学中担任一学期的助教</w:t>
      </w:r>
      <w:r w:rsidRPr="004A0CB1">
        <w:rPr>
          <w:rFonts w:ascii="仿宋" w:eastAsia="仿宋" w:hAnsi="仿宋" w:hint="eastAsia"/>
          <w:sz w:val="24"/>
          <w:szCs w:val="24"/>
        </w:rPr>
        <w:t>，并参与本科生的教学技能训练和微格教学等活动。校外实践则包括</w:t>
      </w:r>
      <w:r w:rsidRPr="004A0CB1">
        <w:rPr>
          <w:rFonts w:ascii="仿宋" w:eastAsia="仿宋" w:hAnsi="仿宋"/>
          <w:sz w:val="24"/>
          <w:szCs w:val="24"/>
        </w:rPr>
        <w:t>在周边的优秀中小学进行</w:t>
      </w:r>
      <w:r w:rsidRPr="004A0CB1">
        <w:rPr>
          <w:rFonts w:ascii="仿宋" w:eastAsia="仿宋" w:hAnsi="仿宋" w:hint="eastAsia"/>
          <w:sz w:val="24"/>
          <w:szCs w:val="24"/>
        </w:rPr>
        <w:t>的</w:t>
      </w:r>
      <w:r w:rsidRPr="004A0CB1">
        <w:rPr>
          <w:rFonts w:ascii="仿宋" w:eastAsia="仿宋" w:hAnsi="仿宋"/>
          <w:sz w:val="24"/>
          <w:szCs w:val="24"/>
        </w:rPr>
        <w:t>为期半年的</w:t>
      </w:r>
      <w:r w:rsidRPr="004A0CB1">
        <w:rPr>
          <w:rFonts w:ascii="仿宋" w:eastAsia="仿宋" w:hAnsi="仿宋" w:hint="eastAsia"/>
          <w:sz w:val="24"/>
          <w:szCs w:val="24"/>
        </w:rPr>
        <w:t>教育见习、</w:t>
      </w:r>
      <w:r w:rsidRPr="004A0CB1">
        <w:rPr>
          <w:rFonts w:ascii="仿宋" w:eastAsia="仿宋" w:hAnsi="仿宋"/>
          <w:sz w:val="24"/>
          <w:szCs w:val="24"/>
        </w:rPr>
        <w:t>教</w:t>
      </w:r>
      <w:r w:rsidRPr="004A0CB1">
        <w:rPr>
          <w:rFonts w:ascii="仿宋" w:eastAsia="仿宋" w:hAnsi="仿宋" w:hint="eastAsia"/>
          <w:sz w:val="24"/>
          <w:szCs w:val="24"/>
        </w:rPr>
        <w:t>育</w:t>
      </w:r>
      <w:r w:rsidRPr="004A0CB1">
        <w:rPr>
          <w:rFonts w:ascii="仿宋" w:eastAsia="仿宋" w:hAnsi="仿宋"/>
          <w:sz w:val="24"/>
          <w:szCs w:val="24"/>
        </w:rPr>
        <w:t>实习</w:t>
      </w:r>
      <w:r w:rsidRPr="004A0CB1">
        <w:rPr>
          <w:rFonts w:ascii="仿宋" w:eastAsia="仿宋" w:hAnsi="仿宋" w:hint="eastAsia"/>
          <w:sz w:val="24"/>
          <w:szCs w:val="24"/>
        </w:rPr>
        <w:t>和教育研习</w:t>
      </w:r>
      <w:r w:rsidRPr="004A0CB1">
        <w:rPr>
          <w:rFonts w:ascii="仿宋" w:eastAsia="仿宋" w:hAnsi="仿宋"/>
          <w:sz w:val="24"/>
          <w:szCs w:val="24"/>
        </w:rPr>
        <w:t>。与中小学数学高级、教授级高级教师一起建立的</w:t>
      </w:r>
      <w:r w:rsidRPr="004A0CB1">
        <w:rPr>
          <w:rFonts w:ascii="仿宋" w:eastAsia="仿宋" w:hAnsi="仿宋"/>
          <w:b/>
          <w:bCs/>
          <w:sz w:val="24"/>
          <w:szCs w:val="24"/>
        </w:rPr>
        <w:t>双导师制</w:t>
      </w:r>
      <w:r w:rsidRPr="004A0CB1">
        <w:rPr>
          <w:rFonts w:ascii="仿宋" w:eastAsia="仿宋" w:hAnsi="仿宋"/>
          <w:sz w:val="24"/>
          <w:szCs w:val="24"/>
        </w:rPr>
        <w:t>，为学科教学（数学）专业的研究生进行一线数学教学案例的学习与研究提供了强大的助力。</w:t>
      </w:r>
    </w:p>
    <w:p w:rsidR="00AA0C99" w:rsidRDefault="00AA0C99" w:rsidP="00AA0C99">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公共课程（14学分）：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3"/>
        <w:gridCol w:w="1166"/>
        <w:gridCol w:w="933"/>
        <w:gridCol w:w="2649"/>
      </w:tblGrid>
      <w:tr w:rsidR="00AA0C99" w:rsidTr="005A65A1">
        <w:trPr>
          <w:cantSplit/>
          <w:tblHeader/>
        </w:trPr>
        <w:tc>
          <w:tcPr>
            <w:tcW w:w="4793"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课程名称</w:t>
            </w:r>
          </w:p>
        </w:tc>
        <w:tc>
          <w:tcPr>
            <w:tcW w:w="1166"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学时</w:t>
            </w:r>
          </w:p>
        </w:tc>
        <w:tc>
          <w:tcPr>
            <w:tcW w:w="933"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学分</w:t>
            </w:r>
          </w:p>
        </w:tc>
        <w:tc>
          <w:tcPr>
            <w:tcW w:w="2649"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开设时间</w:t>
            </w:r>
          </w:p>
        </w:tc>
      </w:tr>
      <w:tr w:rsidR="00AA0C99" w:rsidTr="005A65A1">
        <w:trPr>
          <w:cantSplit/>
          <w:tblHeader/>
        </w:trPr>
        <w:tc>
          <w:tcPr>
            <w:tcW w:w="479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中国特色社会主义理论与实践研究</w:t>
            </w:r>
          </w:p>
        </w:tc>
        <w:tc>
          <w:tcPr>
            <w:tcW w:w="1166"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36</w:t>
            </w:r>
          </w:p>
        </w:tc>
        <w:tc>
          <w:tcPr>
            <w:tcW w:w="93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9"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自然辩证法</w:t>
            </w:r>
          </w:p>
        </w:tc>
        <w:tc>
          <w:tcPr>
            <w:tcW w:w="1166"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18</w:t>
            </w:r>
          </w:p>
        </w:tc>
        <w:tc>
          <w:tcPr>
            <w:tcW w:w="93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1</w:t>
            </w:r>
          </w:p>
        </w:tc>
        <w:tc>
          <w:tcPr>
            <w:tcW w:w="2649"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基础英语</w:t>
            </w:r>
          </w:p>
        </w:tc>
        <w:tc>
          <w:tcPr>
            <w:tcW w:w="1166"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54</w:t>
            </w:r>
          </w:p>
        </w:tc>
        <w:tc>
          <w:tcPr>
            <w:tcW w:w="93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3</w:t>
            </w:r>
          </w:p>
        </w:tc>
        <w:tc>
          <w:tcPr>
            <w:tcW w:w="2649"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3" w:type="dxa"/>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sz w:val="24"/>
                <w:szCs w:val="24"/>
              </w:rPr>
              <w:t>教育原理</w:t>
            </w:r>
          </w:p>
        </w:tc>
        <w:tc>
          <w:tcPr>
            <w:tcW w:w="1166"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36</w:t>
            </w:r>
          </w:p>
        </w:tc>
        <w:tc>
          <w:tcPr>
            <w:tcW w:w="933"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9"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3" w:type="dxa"/>
            <w:tcBorders>
              <w:bottom w:val="single" w:sz="4" w:space="0" w:color="auto"/>
            </w:tcBorders>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课程与教学论</w:t>
            </w:r>
          </w:p>
        </w:tc>
        <w:tc>
          <w:tcPr>
            <w:tcW w:w="1166"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36</w:t>
            </w:r>
          </w:p>
        </w:tc>
        <w:tc>
          <w:tcPr>
            <w:tcW w:w="933"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9"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3" w:type="dxa"/>
            <w:tcBorders>
              <w:top w:val="single" w:sz="4" w:space="0" w:color="auto"/>
            </w:tcBorders>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教育研究方法</w:t>
            </w:r>
          </w:p>
        </w:tc>
        <w:tc>
          <w:tcPr>
            <w:tcW w:w="1166" w:type="dxa"/>
            <w:tcBorders>
              <w:top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36</w:t>
            </w:r>
          </w:p>
        </w:tc>
        <w:tc>
          <w:tcPr>
            <w:tcW w:w="933" w:type="dxa"/>
            <w:tcBorders>
              <w:top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9" w:type="dxa"/>
            <w:tcBorders>
              <w:top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3" w:type="dxa"/>
            <w:tcBorders>
              <w:top w:val="single" w:sz="4" w:space="0" w:color="auto"/>
            </w:tcBorders>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心理发展与教育</w:t>
            </w:r>
          </w:p>
        </w:tc>
        <w:tc>
          <w:tcPr>
            <w:tcW w:w="1166" w:type="dxa"/>
            <w:tcBorders>
              <w:top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36</w:t>
            </w:r>
          </w:p>
        </w:tc>
        <w:tc>
          <w:tcPr>
            <w:tcW w:w="933" w:type="dxa"/>
            <w:tcBorders>
              <w:top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9" w:type="dxa"/>
            <w:tcBorders>
              <w:top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bl>
    <w:p w:rsidR="00AA0C99" w:rsidRDefault="00AA0C99" w:rsidP="00AA0C99">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专业必修课程（10学分）：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1"/>
        <w:gridCol w:w="1166"/>
        <w:gridCol w:w="937"/>
        <w:gridCol w:w="2647"/>
      </w:tblGrid>
      <w:tr w:rsidR="00AA0C99" w:rsidTr="005A65A1">
        <w:trPr>
          <w:cantSplit/>
          <w:tblHeader/>
        </w:trPr>
        <w:tc>
          <w:tcPr>
            <w:tcW w:w="4791"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课程名称</w:t>
            </w:r>
          </w:p>
        </w:tc>
        <w:tc>
          <w:tcPr>
            <w:tcW w:w="1166"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学时</w:t>
            </w:r>
          </w:p>
        </w:tc>
        <w:tc>
          <w:tcPr>
            <w:tcW w:w="937"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学分</w:t>
            </w:r>
          </w:p>
        </w:tc>
        <w:tc>
          <w:tcPr>
            <w:tcW w:w="2647"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开设时间</w:t>
            </w:r>
          </w:p>
        </w:tc>
      </w:tr>
      <w:tr w:rsidR="00AA0C99" w:rsidTr="005A65A1">
        <w:trPr>
          <w:cantSplit/>
          <w:tblHeader/>
        </w:trPr>
        <w:tc>
          <w:tcPr>
            <w:tcW w:w="4791" w:type="dxa"/>
            <w:vAlign w:val="center"/>
          </w:tcPr>
          <w:p w:rsidR="00AA0C99" w:rsidRDefault="000C35FB"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数学课程与教材</w:t>
            </w:r>
            <w:r w:rsidR="00AA0C99">
              <w:rPr>
                <w:rFonts w:ascii="仿宋" w:eastAsia="仿宋" w:hAnsi="仿宋" w:hint="eastAsia"/>
                <w:sz w:val="24"/>
                <w:szCs w:val="24"/>
              </w:rPr>
              <w:t>研究</w:t>
            </w:r>
          </w:p>
        </w:tc>
        <w:tc>
          <w:tcPr>
            <w:tcW w:w="1166" w:type="dxa"/>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第二学期</w:t>
            </w:r>
          </w:p>
        </w:tc>
      </w:tr>
      <w:tr w:rsidR="00AA0C99" w:rsidTr="005A65A1">
        <w:trPr>
          <w:cantSplit/>
          <w:tblHeader/>
        </w:trPr>
        <w:tc>
          <w:tcPr>
            <w:tcW w:w="4791"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中小学数学教学设计与实施</w:t>
            </w:r>
          </w:p>
        </w:tc>
        <w:tc>
          <w:tcPr>
            <w:tcW w:w="1166" w:type="dxa"/>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1"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数学教育心理学</w:t>
            </w:r>
          </w:p>
        </w:tc>
        <w:tc>
          <w:tcPr>
            <w:tcW w:w="1166" w:type="dxa"/>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第二学期</w:t>
            </w:r>
          </w:p>
        </w:tc>
      </w:tr>
      <w:tr w:rsidR="00AA0C99" w:rsidTr="005A65A1">
        <w:trPr>
          <w:cantSplit/>
          <w:tblHeader/>
        </w:trPr>
        <w:tc>
          <w:tcPr>
            <w:tcW w:w="4791"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数学教育测量与评价</w:t>
            </w:r>
          </w:p>
        </w:tc>
        <w:tc>
          <w:tcPr>
            <w:tcW w:w="1166" w:type="dxa"/>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rHeight w:val="309"/>
          <w:tblHeader/>
        </w:trPr>
        <w:tc>
          <w:tcPr>
            <w:tcW w:w="4791" w:type="dxa"/>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数学教育研究方法</w:t>
            </w:r>
          </w:p>
        </w:tc>
        <w:tc>
          <w:tcPr>
            <w:tcW w:w="1166" w:type="dxa"/>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vAlign w:val="center"/>
          </w:tcPr>
          <w:p w:rsidR="00AA0C99" w:rsidRDefault="00AA0C99" w:rsidP="005A65A1">
            <w:pPr>
              <w:adjustRightInd w:val="0"/>
              <w:snapToGrid w:val="0"/>
              <w:spacing w:line="360" w:lineRule="auto"/>
              <w:jc w:val="center"/>
              <w:rPr>
                <w:rFonts w:ascii="Times New Roman" w:eastAsia="仿宋" w:hAnsi="仿宋"/>
                <w:color w:val="000000"/>
                <w:sz w:val="24"/>
                <w:szCs w:val="24"/>
              </w:rPr>
            </w:pPr>
            <w:r>
              <w:rPr>
                <w:rFonts w:ascii="Times New Roman" w:eastAsia="仿宋" w:hAnsi="仿宋" w:hint="eastAsia"/>
                <w:color w:val="000000"/>
                <w:sz w:val="24"/>
                <w:szCs w:val="24"/>
              </w:rPr>
              <w:t>2</w:t>
            </w:r>
          </w:p>
        </w:tc>
        <w:tc>
          <w:tcPr>
            <w:tcW w:w="2647" w:type="dxa"/>
            <w:vAlign w:val="center"/>
          </w:tcPr>
          <w:p w:rsidR="00AA0C99" w:rsidRDefault="00AA0C99" w:rsidP="005A65A1">
            <w:pPr>
              <w:adjustRightInd w:val="0"/>
              <w:snapToGrid w:val="0"/>
              <w:spacing w:line="360" w:lineRule="auto"/>
              <w:jc w:val="center"/>
              <w:rPr>
                <w:rFonts w:ascii="Times New Roman" w:eastAsia="仿宋" w:hAnsi="仿宋"/>
                <w:color w:val="000000"/>
                <w:sz w:val="24"/>
                <w:szCs w:val="24"/>
              </w:rPr>
            </w:pPr>
            <w:r>
              <w:rPr>
                <w:rFonts w:ascii="Times New Roman" w:eastAsia="仿宋" w:hAnsi="仿宋" w:hint="eastAsia"/>
                <w:color w:val="000000"/>
                <w:sz w:val="24"/>
                <w:szCs w:val="24"/>
              </w:rPr>
              <w:t>第二学期</w:t>
            </w:r>
          </w:p>
        </w:tc>
      </w:tr>
    </w:tbl>
    <w:p w:rsidR="00AA0C99" w:rsidRDefault="00AA0C99" w:rsidP="00AA0C99">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专业选修课程（不少于6学分）：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1"/>
        <w:gridCol w:w="1166"/>
        <w:gridCol w:w="937"/>
        <w:gridCol w:w="2647"/>
      </w:tblGrid>
      <w:tr w:rsidR="00AA0C99" w:rsidTr="005A65A1">
        <w:trPr>
          <w:cantSplit/>
          <w:tblHeader/>
        </w:trPr>
        <w:tc>
          <w:tcPr>
            <w:tcW w:w="4791"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课程名称</w:t>
            </w:r>
          </w:p>
        </w:tc>
        <w:tc>
          <w:tcPr>
            <w:tcW w:w="1166"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学时</w:t>
            </w:r>
          </w:p>
        </w:tc>
        <w:tc>
          <w:tcPr>
            <w:tcW w:w="937"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学分</w:t>
            </w:r>
          </w:p>
        </w:tc>
        <w:tc>
          <w:tcPr>
            <w:tcW w:w="2647"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开设时间</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中数建模与CAI</w:t>
            </w:r>
          </w:p>
        </w:tc>
        <w:tc>
          <w:tcPr>
            <w:tcW w:w="1166" w:type="dxa"/>
            <w:tcBorders>
              <w:bottom w:val="single" w:sz="4" w:space="0" w:color="auto"/>
            </w:tcBorders>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数学教育国际比较研究</w:t>
            </w:r>
          </w:p>
        </w:tc>
        <w:tc>
          <w:tcPr>
            <w:tcW w:w="1166" w:type="dxa"/>
            <w:tcBorders>
              <w:bottom w:val="single" w:sz="4" w:space="0" w:color="auto"/>
            </w:tcBorders>
          </w:tcPr>
          <w:p w:rsidR="00AA0C99" w:rsidRDefault="00AA0C99" w:rsidP="005A65A1">
            <w:pPr>
              <w:jc w:val="center"/>
              <w:rPr>
                <w:rFonts w:ascii="仿宋" w:eastAsia="仿宋" w:hAnsi="仿宋"/>
                <w:sz w:val="24"/>
                <w:szCs w:val="24"/>
              </w:rPr>
            </w:pPr>
            <w:r>
              <w:rPr>
                <w:rFonts w:ascii="仿宋" w:eastAsia="仿宋" w:hAnsi="仿宋" w:hint="eastAsia"/>
                <w:sz w:val="24"/>
                <w:szCs w:val="24"/>
              </w:rPr>
              <w:t>54</w:t>
            </w: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高观点下的初等数学</w:t>
            </w:r>
          </w:p>
        </w:tc>
        <w:tc>
          <w:tcPr>
            <w:tcW w:w="1166" w:type="dxa"/>
            <w:tcBorders>
              <w:bottom w:val="single" w:sz="4" w:space="0" w:color="auto"/>
            </w:tcBorders>
          </w:tcPr>
          <w:p w:rsidR="00AA0C99" w:rsidRDefault="00AA0C99" w:rsidP="005A65A1">
            <w:pPr>
              <w:jc w:val="center"/>
            </w:pPr>
            <w:r>
              <w:rPr>
                <w:rFonts w:ascii="仿宋" w:eastAsia="仿宋" w:hAnsi="仿宋" w:hint="eastAsia"/>
                <w:sz w:val="24"/>
                <w:szCs w:val="24"/>
              </w:rPr>
              <w:t>54</w:t>
            </w: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第一学期或第二学期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数学方法论与解题研究</w:t>
            </w:r>
          </w:p>
        </w:tc>
        <w:tc>
          <w:tcPr>
            <w:tcW w:w="1166" w:type="dxa"/>
            <w:tcBorders>
              <w:bottom w:val="single" w:sz="4" w:space="0" w:color="auto"/>
            </w:tcBorders>
          </w:tcPr>
          <w:p w:rsidR="00AA0C99" w:rsidRDefault="00AA0C99" w:rsidP="005A65A1">
            <w:pPr>
              <w:jc w:val="center"/>
            </w:pPr>
            <w:r>
              <w:rPr>
                <w:rFonts w:ascii="仿宋" w:eastAsia="仿宋" w:hAnsi="仿宋" w:hint="eastAsia"/>
                <w:sz w:val="24"/>
                <w:szCs w:val="24"/>
              </w:rPr>
              <w:t>54</w:t>
            </w: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第一学期或第二学期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数学教育哲学</w:t>
            </w:r>
          </w:p>
        </w:tc>
        <w:tc>
          <w:tcPr>
            <w:tcW w:w="1166" w:type="dxa"/>
            <w:tcBorders>
              <w:bottom w:val="single" w:sz="4" w:space="0" w:color="auto"/>
            </w:tcBorders>
          </w:tcPr>
          <w:p w:rsidR="00AA0C99" w:rsidRDefault="00AA0C99" w:rsidP="005A65A1">
            <w:pPr>
              <w:jc w:val="center"/>
            </w:pPr>
            <w:r>
              <w:rPr>
                <w:rFonts w:ascii="仿宋" w:eastAsia="仿宋" w:hAnsi="仿宋" w:hint="eastAsia"/>
                <w:sz w:val="24"/>
                <w:szCs w:val="24"/>
              </w:rPr>
              <w:t>54</w:t>
            </w: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第一学期或第二学期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数学教育前沿讲座</w:t>
            </w:r>
          </w:p>
        </w:tc>
        <w:tc>
          <w:tcPr>
            <w:tcW w:w="1166" w:type="dxa"/>
            <w:tcBorders>
              <w:bottom w:val="single" w:sz="4" w:space="0" w:color="auto"/>
            </w:tcBorders>
          </w:tcPr>
          <w:p w:rsidR="00AA0C99" w:rsidRDefault="00AA0C99" w:rsidP="005A65A1">
            <w:pPr>
              <w:jc w:val="center"/>
            </w:pPr>
            <w:r>
              <w:rPr>
                <w:rFonts w:ascii="仿宋" w:eastAsia="仿宋" w:hAnsi="仿宋" w:hint="eastAsia"/>
                <w:sz w:val="24"/>
                <w:szCs w:val="24"/>
              </w:rPr>
              <w:t>54</w:t>
            </w: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2</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第一学期或第二学期</w:t>
            </w:r>
          </w:p>
        </w:tc>
      </w:tr>
    </w:tbl>
    <w:p w:rsidR="00AA0C99" w:rsidRDefault="00AA0C99" w:rsidP="00AA0C99">
      <w:pPr>
        <w:adjustRightInd w:val="0"/>
        <w:snapToGrid w:val="0"/>
        <w:spacing w:line="360" w:lineRule="auto"/>
        <w:ind w:firstLineChars="200" w:firstLine="482"/>
        <w:rPr>
          <w:rFonts w:ascii="仿宋" w:eastAsia="仿宋" w:hAnsi="仿宋"/>
          <w:b/>
          <w:sz w:val="24"/>
          <w:szCs w:val="24"/>
        </w:rPr>
      </w:pPr>
      <w:r>
        <w:rPr>
          <w:rFonts w:ascii="仿宋" w:eastAsia="仿宋" w:hAnsi="仿宋" w:hint="eastAsia"/>
          <w:b/>
          <w:sz w:val="24"/>
          <w:szCs w:val="24"/>
        </w:rPr>
        <w:t>必修环节（8学分）：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91"/>
        <w:gridCol w:w="1166"/>
        <w:gridCol w:w="937"/>
        <w:gridCol w:w="2647"/>
      </w:tblGrid>
      <w:tr w:rsidR="00AA0C99" w:rsidTr="005A65A1">
        <w:trPr>
          <w:cantSplit/>
          <w:tblHeader/>
        </w:trPr>
        <w:tc>
          <w:tcPr>
            <w:tcW w:w="4791"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课程名称</w:t>
            </w:r>
          </w:p>
        </w:tc>
        <w:tc>
          <w:tcPr>
            <w:tcW w:w="1166"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学时</w:t>
            </w:r>
          </w:p>
        </w:tc>
        <w:tc>
          <w:tcPr>
            <w:tcW w:w="937"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学分</w:t>
            </w:r>
          </w:p>
        </w:tc>
        <w:tc>
          <w:tcPr>
            <w:tcW w:w="2647" w:type="dxa"/>
            <w:vAlign w:val="center"/>
          </w:tcPr>
          <w:p w:rsidR="00AA0C99" w:rsidRDefault="00AA0C99" w:rsidP="005A65A1">
            <w:pPr>
              <w:adjustRightInd w:val="0"/>
              <w:snapToGrid w:val="0"/>
              <w:spacing w:line="276" w:lineRule="auto"/>
              <w:jc w:val="center"/>
              <w:rPr>
                <w:rFonts w:ascii="仿宋" w:eastAsia="仿宋" w:hAnsi="仿宋"/>
                <w:b/>
                <w:sz w:val="24"/>
                <w:szCs w:val="24"/>
              </w:rPr>
            </w:pPr>
            <w:r>
              <w:rPr>
                <w:rFonts w:ascii="仿宋" w:eastAsia="仿宋" w:hAnsi="仿宋" w:hint="eastAsia"/>
                <w:b/>
                <w:sz w:val="24"/>
                <w:szCs w:val="24"/>
              </w:rPr>
              <w:t>开设时间</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教育见习</w:t>
            </w:r>
          </w:p>
        </w:tc>
        <w:tc>
          <w:tcPr>
            <w:tcW w:w="1166"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1</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lastRenderedPageBreak/>
              <w:t>课堂教学技能实训</w:t>
            </w:r>
          </w:p>
        </w:tc>
        <w:tc>
          <w:tcPr>
            <w:tcW w:w="1166" w:type="dxa"/>
            <w:tcBorders>
              <w:bottom w:val="single" w:sz="4" w:space="0" w:color="auto"/>
            </w:tcBorders>
          </w:tcPr>
          <w:p w:rsidR="00AA0C99" w:rsidRDefault="00AA0C99" w:rsidP="005A65A1">
            <w:pPr>
              <w:jc w:val="cente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1</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第一学期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开题报告</w:t>
            </w:r>
          </w:p>
        </w:tc>
        <w:tc>
          <w:tcPr>
            <w:tcW w:w="1166" w:type="dxa"/>
            <w:tcBorders>
              <w:bottom w:val="single" w:sz="4" w:space="0" w:color="auto"/>
            </w:tcBorders>
          </w:tcPr>
          <w:p w:rsidR="00AA0C99" w:rsidRDefault="00AA0C99" w:rsidP="005A65A1">
            <w:pPr>
              <w:jc w:val="cente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第二学期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微格教学</w:t>
            </w:r>
          </w:p>
        </w:tc>
        <w:tc>
          <w:tcPr>
            <w:tcW w:w="1166" w:type="dxa"/>
            <w:tcBorders>
              <w:bottom w:val="single" w:sz="4" w:space="0" w:color="auto"/>
            </w:tcBorders>
          </w:tcPr>
          <w:p w:rsidR="00AA0C99" w:rsidRDefault="00AA0C99" w:rsidP="005A65A1">
            <w:pPr>
              <w:jc w:val="cente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1</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第二学期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中期考核</w:t>
            </w:r>
          </w:p>
        </w:tc>
        <w:tc>
          <w:tcPr>
            <w:tcW w:w="1166" w:type="dxa"/>
            <w:tcBorders>
              <w:bottom w:val="single" w:sz="4" w:space="0" w:color="auto"/>
            </w:tcBorders>
          </w:tcPr>
          <w:p w:rsidR="00AA0C99" w:rsidRDefault="00AA0C99" w:rsidP="005A65A1">
            <w:pPr>
              <w:jc w:val="cente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第三学期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教育实习</w:t>
            </w:r>
          </w:p>
        </w:tc>
        <w:tc>
          <w:tcPr>
            <w:tcW w:w="1166" w:type="dxa"/>
            <w:tcBorders>
              <w:bottom w:val="single" w:sz="4" w:space="0" w:color="auto"/>
            </w:tcBorders>
          </w:tcPr>
          <w:p w:rsidR="00AA0C99" w:rsidRDefault="00AA0C99" w:rsidP="005A65A1">
            <w:pPr>
              <w:jc w:val="center"/>
              <w:rPr>
                <w:rFonts w:ascii="仿宋" w:eastAsia="仿宋" w:hAnsi="仿宋"/>
                <w:sz w:val="24"/>
                <w:szCs w:val="24"/>
              </w:rP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4</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第三学期</w:t>
            </w:r>
          </w:p>
        </w:tc>
      </w:tr>
      <w:tr w:rsidR="00AA0C99" w:rsidTr="005A65A1">
        <w:trPr>
          <w:cantSplit/>
          <w:tblHeader/>
        </w:trPr>
        <w:tc>
          <w:tcPr>
            <w:tcW w:w="4791"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教育研习</w:t>
            </w:r>
          </w:p>
        </w:tc>
        <w:tc>
          <w:tcPr>
            <w:tcW w:w="1166" w:type="dxa"/>
            <w:tcBorders>
              <w:bottom w:val="single" w:sz="4" w:space="0" w:color="auto"/>
            </w:tcBorders>
          </w:tcPr>
          <w:p w:rsidR="00AA0C99" w:rsidRDefault="00AA0C99" w:rsidP="005A65A1">
            <w:pPr>
              <w:jc w:val="center"/>
              <w:rPr>
                <w:rFonts w:ascii="仿宋" w:eastAsia="仿宋" w:hAnsi="仿宋"/>
                <w:sz w:val="24"/>
                <w:szCs w:val="24"/>
              </w:rPr>
            </w:pPr>
          </w:p>
        </w:tc>
        <w:tc>
          <w:tcPr>
            <w:tcW w:w="93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1</w:t>
            </w:r>
          </w:p>
        </w:tc>
        <w:tc>
          <w:tcPr>
            <w:tcW w:w="2647" w:type="dxa"/>
            <w:tcBorders>
              <w:bottom w:val="single" w:sz="4" w:space="0" w:color="auto"/>
            </w:tcBorders>
            <w:vAlign w:val="center"/>
          </w:tcPr>
          <w:p w:rsidR="00AA0C99" w:rsidRDefault="00AA0C99" w:rsidP="005A65A1">
            <w:pPr>
              <w:adjustRightInd w:val="0"/>
              <w:snapToGrid w:val="0"/>
              <w:spacing w:line="276" w:lineRule="auto"/>
              <w:jc w:val="center"/>
              <w:rPr>
                <w:rFonts w:ascii="仿宋" w:eastAsia="仿宋" w:hAnsi="仿宋"/>
                <w:sz w:val="24"/>
                <w:szCs w:val="24"/>
              </w:rPr>
            </w:pPr>
            <w:r>
              <w:rPr>
                <w:rFonts w:ascii="仿宋" w:eastAsia="仿宋" w:hAnsi="仿宋" w:hint="eastAsia"/>
                <w:sz w:val="24"/>
                <w:szCs w:val="24"/>
              </w:rPr>
              <w:t>第三学期</w:t>
            </w:r>
          </w:p>
        </w:tc>
      </w:tr>
    </w:tbl>
    <w:p w:rsidR="00AA0C99" w:rsidRDefault="00AA0C99" w:rsidP="00AA0C99">
      <w:pPr>
        <w:adjustRightInd w:val="0"/>
        <w:snapToGrid w:val="0"/>
        <w:spacing w:line="360" w:lineRule="auto"/>
        <w:ind w:firstLineChars="200" w:firstLine="560"/>
        <w:rPr>
          <w:rFonts w:ascii="仿宋" w:eastAsia="仿宋" w:hAnsi="仿宋" w:cs="仿宋"/>
          <w:sz w:val="28"/>
          <w:szCs w:val="28"/>
        </w:rPr>
      </w:pPr>
    </w:p>
    <w:p w:rsidR="00AA0C99" w:rsidRDefault="00AA0C99" w:rsidP="00AA0C99">
      <w:pPr>
        <w:pStyle w:val="2"/>
        <w:spacing w:before="156" w:after="156"/>
      </w:pPr>
      <w:r>
        <w:rPr>
          <w:rFonts w:hint="eastAsia"/>
        </w:rPr>
        <w:t>五、培养环节</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．文献综述与开题报告</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研究生在各类课程的学习中，在选定研究方向之前和进行课题研究之中都必须阅读大量的专业经典文献、学术前沿研究，既要通过文献综述了解学术研究动态，也为自身进行学位论文的研究打好基础。</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研究生学位论文开题是研究生培养过程中的重要环节，完成学位课程的学习，文献调研业已完成，预研工作已部分进行之后方可进入开题环节。就研究课题的名称、目的及意义、研究内容、研究方案、研究经费预算、已经取得的研究数据和研究基础、可能的困难和解决的方案等等，撰写开题报告书。开题报告会需个人申请，先经导师同意后，以专业内相对集中的方式公开进行审核、确定。</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．中期考核</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中期考核是研究生培养过程中的重要考核之一，一般安排在开题通过后6个月后进行。中期考核中将全面考核研究生思想政治素质、课程学习、论文进展及科研创新能力等。</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由研究生提出申请，并向导师提交成绩单、获奖证书、发表论文（或录用函）、学位论文进展报告等相关材料，由学院组织的中期考核小组进行鉴定审核。中期考核分为优秀、合格、限期改正、不合格四个等级，中期考核不合格者将不得进入学位论文答辩。</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sz w:val="24"/>
          <w:szCs w:val="24"/>
        </w:rPr>
        <w:t>3</w:t>
      </w:r>
      <w:r w:rsidRPr="004A0CB1">
        <w:rPr>
          <w:rFonts w:ascii="仿宋" w:eastAsia="仿宋" w:hAnsi="仿宋" w:cs="仿宋" w:hint="eastAsia"/>
          <w:sz w:val="24"/>
          <w:szCs w:val="24"/>
        </w:rPr>
        <w:t>．专业实践</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专业实践是专业学位型研究生培养的基本要求。学科教学（数学）专业的研究生经导师审核同意后一方面在课程学习阶段融入解决专业实际问题能力训练，采用分散实践的方式参与导师相关本科生课程的实践活动，另一方面须到中小学教育教学一线进行集中实践方式的实习实践，保证不少于半年的专业实践。学院及研究生院应加强与实习学校的沟通与联系，并提供相应的实习经费。</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hint="eastAsia"/>
          <w:sz w:val="24"/>
          <w:szCs w:val="24"/>
        </w:rPr>
        <w:t>4．学术活动</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至少选听</w:t>
      </w:r>
      <w:r w:rsidRPr="004A0CB1">
        <w:rPr>
          <w:rFonts w:ascii="仿宋" w:eastAsia="仿宋" w:hAnsi="仿宋" w:cs="仿宋"/>
          <w:sz w:val="24"/>
          <w:szCs w:val="24"/>
        </w:rPr>
        <w:t>10</w:t>
      </w:r>
      <w:r w:rsidRPr="004A0CB1">
        <w:rPr>
          <w:rFonts w:ascii="仿宋" w:eastAsia="仿宋" w:hAnsi="仿宋" w:cs="仿宋" w:hint="eastAsia"/>
          <w:sz w:val="24"/>
          <w:szCs w:val="24"/>
        </w:rPr>
        <w:t>次公共讲座或学科进展类讲座，并将书面记录和撰写的心得体</w:t>
      </w:r>
      <w:r w:rsidRPr="004A0CB1">
        <w:rPr>
          <w:rFonts w:ascii="仿宋" w:eastAsia="仿宋" w:hAnsi="仿宋" w:cs="仿宋" w:hint="eastAsia"/>
          <w:sz w:val="24"/>
          <w:szCs w:val="24"/>
        </w:rPr>
        <w:lastRenderedPageBreak/>
        <w:t>会交导师签字认可，以备中期考核时审查。</w:t>
      </w:r>
    </w:p>
    <w:p w:rsidR="00AA0C99" w:rsidRDefault="00AA0C99" w:rsidP="00AA0C99">
      <w:pPr>
        <w:pStyle w:val="2"/>
        <w:spacing w:before="156" w:after="156"/>
      </w:pPr>
      <w:r>
        <w:rPr>
          <w:rFonts w:hint="eastAsia"/>
        </w:rPr>
        <w:t>六、科研与学位论文</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．科研要求</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学科教学（数学）专业的研究生在科研上虽不作省级及以上期刊发表文章的规定，但要求在读期间必须进行至少</w:t>
      </w:r>
      <w:r w:rsidRPr="004A0CB1">
        <w:rPr>
          <w:rFonts w:ascii="仿宋" w:eastAsia="仿宋" w:hAnsi="仿宋" w:cs="仿宋"/>
          <w:sz w:val="24"/>
          <w:szCs w:val="24"/>
        </w:rPr>
        <w:t>6</w:t>
      </w:r>
      <w:r w:rsidRPr="004A0CB1">
        <w:rPr>
          <w:rFonts w:ascii="仿宋" w:eastAsia="仿宋" w:hAnsi="仿宋" w:cs="仿宋" w:hint="eastAsia"/>
          <w:sz w:val="24"/>
          <w:szCs w:val="24"/>
        </w:rPr>
        <w:t>次的个人读书报告，撰写</w:t>
      </w:r>
      <w:r w:rsidRPr="004A0CB1">
        <w:rPr>
          <w:rFonts w:ascii="仿宋" w:eastAsia="仿宋" w:hAnsi="仿宋" w:cs="仿宋"/>
          <w:sz w:val="24"/>
          <w:szCs w:val="24"/>
        </w:rPr>
        <w:t>3</w:t>
      </w:r>
      <w:r w:rsidRPr="004A0CB1">
        <w:rPr>
          <w:rFonts w:ascii="仿宋" w:eastAsia="仿宋" w:hAnsi="仿宋" w:cs="仿宋" w:hint="eastAsia"/>
          <w:sz w:val="24"/>
          <w:szCs w:val="24"/>
        </w:rPr>
        <w:t>篇研究案例分析。</w:t>
      </w:r>
    </w:p>
    <w:p w:rsidR="00AA0C99" w:rsidRPr="004A0CB1" w:rsidRDefault="00AA0C99" w:rsidP="00AA0C99">
      <w:pPr>
        <w:adjustRightInd w:val="0"/>
        <w:snapToGrid w:val="0"/>
        <w:spacing w:line="312" w:lineRule="auto"/>
        <w:ind w:firstLineChars="200" w:firstLine="480"/>
        <w:rPr>
          <w:rFonts w:ascii="仿宋" w:eastAsia="仿宋" w:hAnsi="仿宋"/>
          <w:b/>
          <w:bCs/>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．学位论文</w:t>
      </w:r>
    </w:p>
    <w:p w:rsidR="00AA0C99" w:rsidRPr="004A0CB1" w:rsidRDefault="00AA0C99" w:rsidP="00AA0C99">
      <w:pPr>
        <w:adjustRightInd w:val="0"/>
        <w:snapToGrid w:val="0"/>
        <w:spacing w:line="312" w:lineRule="auto"/>
        <w:ind w:firstLineChars="200" w:firstLine="480"/>
        <w:rPr>
          <w:rFonts w:ascii="仿宋" w:eastAsia="仿宋" w:hAnsi="仿宋" w:cs="仿宋"/>
          <w:sz w:val="24"/>
          <w:szCs w:val="24"/>
        </w:rPr>
      </w:pPr>
      <w:r w:rsidRPr="004A0CB1">
        <w:rPr>
          <w:rFonts w:ascii="仿宋" w:eastAsia="仿宋" w:hAnsi="仿宋" w:cs="仿宋" w:hint="eastAsia"/>
          <w:sz w:val="24"/>
          <w:szCs w:val="24"/>
        </w:rPr>
        <w:t>学科教学（数学）专业的学位论文选题应聚焦</w:t>
      </w:r>
      <w:r w:rsidR="000C35FB" w:rsidRPr="000C35FB">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数学教育教学的核心实际问题，应有现实针对性、应用性；论文内容强调数学教育理论在</w:t>
      </w:r>
      <w:r w:rsidR="000C35FB" w:rsidRPr="000C35FB">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育教学实践中的应用；论文要综合反映运用数学教育的相关知识分析问题和解决问题的能力及调查研究的能力。学位论文应符合研究规范，可为专题研究论文、调查研究报告、实验研究报告和案例研究报告等多种形式。正文字数不少于2万字。学位论文须在导师指导下独立完成。</w:t>
      </w:r>
    </w:p>
    <w:p w:rsidR="00AA0C99" w:rsidRDefault="00AA0C99" w:rsidP="00AA0C99">
      <w:pPr>
        <w:pStyle w:val="2"/>
        <w:spacing w:before="156" w:after="156"/>
      </w:pPr>
      <w:r>
        <w:rPr>
          <w:rFonts w:hint="eastAsia"/>
        </w:rPr>
        <w:t>七、毕业与学位申请</w:t>
      </w:r>
    </w:p>
    <w:p w:rsidR="00AA0C99" w:rsidRPr="004A0CB1" w:rsidRDefault="00AA0C99" w:rsidP="00AA0C99">
      <w:pPr>
        <w:adjustRightInd w:val="0"/>
        <w:snapToGrid w:val="0"/>
        <w:spacing w:line="312" w:lineRule="auto"/>
        <w:ind w:firstLineChars="200" w:firstLine="480"/>
        <w:rPr>
          <w:rFonts w:ascii="仿宋" w:eastAsia="仿宋" w:hAnsi="仿宋"/>
          <w:sz w:val="24"/>
          <w:szCs w:val="24"/>
        </w:rPr>
      </w:pPr>
      <w:r w:rsidRPr="004A0CB1">
        <w:rPr>
          <w:rFonts w:ascii="仿宋" w:eastAsia="仿宋" w:hAnsi="仿宋" w:cs="仿宋" w:hint="eastAsia"/>
          <w:sz w:val="24"/>
          <w:szCs w:val="24"/>
        </w:rPr>
        <w:t>研究生实行毕业与学位申请制。课程学习优良，修满规定学分，中期考核通过，由研究生本人递交毕业和学位申请，导师审核通过，上交学院审核。最终通过论文答辩者，经学位授予单位学位评定委员会审核，授予教育硕士专业学位，同时获得硕士研究生毕业证书。</w:t>
      </w:r>
    </w:p>
    <w:bookmarkEnd w:id="2"/>
    <w:p w:rsidR="009128C2" w:rsidRPr="00AA0C99" w:rsidRDefault="009128C2"/>
    <w:sectPr w:rsidR="009128C2" w:rsidRPr="00AA0C99" w:rsidSect="004D0D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1EA" w:rsidRDefault="00C361EA" w:rsidP="00AA0C99">
      <w:r>
        <w:separator/>
      </w:r>
    </w:p>
  </w:endnote>
  <w:endnote w:type="continuationSeparator" w:id="0">
    <w:p w:rsidR="00C361EA" w:rsidRDefault="00C361EA" w:rsidP="00AA0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1EA" w:rsidRDefault="00C361EA" w:rsidP="00AA0C99">
      <w:r>
        <w:separator/>
      </w:r>
    </w:p>
  </w:footnote>
  <w:footnote w:type="continuationSeparator" w:id="0">
    <w:p w:rsidR="00C361EA" w:rsidRDefault="00C361EA" w:rsidP="00AA0C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C99"/>
    <w:rsid w:val="000C35FB"/>
    <w:rsid w:val="004D0DF6"/>
    <w:rsid w:val="007B74B9"/>
    <w:rsid w:val="009128C2"/>
    <w:rsid w:val="009D10D0"/>
    <w:rsid w:val="00AA0C99"/>
    <w:rsid w:val="00BE6F81"/>
    <w:rsid w:val="00C32DA3"/>
    <w:rsid w:val="00C361EA"/>
    <w:rsid w:val="00CD2400"/>
    <w:rsid w:val="00FF3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99"/>
    <w:pPr>
      <w:widowControl w:val="0"/>
      <w:jc w:val="both"/>
    </w:pPr>
    <w:rPr>
      <w:rFonts w:ascii="Calibri" w:eastAsia="宋体" w:hAnsi="Calibri" w:cs="Times New Roman"/>
    </w:rPr>
  </w:style>
  <w:style w:type="paragraph" w:styleId="1">
    <w:name w:val="heading 1"/>
    <w:basedOn w:val="a"/>
    <w:next w:val="a"/>
    <w:link w:val="1Char"/>
    <w:qFormat/>
    <w:rsid w:val="00AA0C99"/>
    <w:pPr>
      <w:keepNext/>
      <w:keepLines/>
      <w:spacing w:beforeLines="100" w:afterLines="100" w:line="360" w:lineRule="auto"/>
      <w:jc w:val="center"/>
      <w:outlineLvl w:val="0"/>
    </w:pPr>
    <w:rPr>
      <w:rFonts w:ascii="Times New Roman" w:eastAsia="黑体" w:hAnsi="Times New Roman"/>
      <w:bCs/>
      <w:kern w:val="44"/>
      <w:sz w:val="36"/>
      <w:szCs w:val="44"/>
    </w:rPr>
  </w:style>
  <w:style w:type="paragraph" w:styleId="2">
    <w:name w:val="heading 2"/>
    <w:basedOn w:val="a"/>
    <w:next w:val="a"/>
    <w:link w:val="2Char"/>
    <w:uiPriority w:val="9"/>
    <w:qFormat/>
    <w:rsid w:val="00AA0C99"/>
    <w:pPr>
      <w:keepNext/>
      <w:keepLines/>
      <w:adjustRightInd w:val="0"/>
      <w:snapToGrid w:val="0"/>
      <w:spacing w:beforeLines="50" w:afterLines="50" w:line="360" w:lineRule="auto"/>
      <w:outlineLvl w:val="1"/>
    </w:pPr>
    <w:rPr>
      <w:rFonts w:ascii="Times New Roman" w:eastAsia="黑体" w:hAnsi="Times New Roman"/>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C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C99"/>
    <w:rPr>
      <w:sz w:val="18"/>
      <w:szCs w:val="18"/>
    </w:rPr>
  </w:style>
  <w:style w:type="paragraph" w:styleId="a4">
    <w:name w:val="footer"/>
    <w:basedOn w:val="a"/>
    <w:link w:val="Char0"/>
    <w:uiPriority w:val="99"/>
    <w:semiHidden/>
    <w:unhideWhenUsed/>
    <w:rsid w:val="00AA0C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A0C99"/>
    <w:rPr>
      <w:sz w:val="18"/>
      <w:szCs w:val="18"/>
    </w:rPr>
  </w:style>
  <w:style w:type="character" w:customStyle="1" w:styleId="1Char">
    <w:name w:val="标题 1 Char"/>
    <w:basedOn w:val="a0"/>
    <w:link w:val="1"/>
    <w:rsid w:val="00AA0C99"/>
    <w:rPr>
      <w:rFonts w:ascii="Times New Roman" w:eastAsia="黑体" w:hAnsi="Times New Roman" w:cs="Times New Roman"/>
      <w:bCs/>
      <w:kern w:val="44"/>
      <w:sz w:val="36"/>
      <w:szCs w:val="44"/>
    </w:rPr>
  </w:style>
  <w:style w:type="character" w:customStyle="1" w:styleId="2Char">
    <w:name w:val="标题 2 Char"/>
    <w:basedOn w:val="a0"/>
    <w:link w:val="2"/>
    <w:uiPriority w:val="9"/>
    <w:rsid w:val="00AA0C99"/>
    <w:rPr>
      <w:rFonts w:ascii="Times New Roman" w:eastAsia="黑体" w:hAnsi="Times New Roman" w:cs="Times New Roman"/>
      <w:bCs/>
      <w:kern w:val="0"/>
      <w:sz w:val="28"/>
      <w:szCs w:val="32"/>
    </w:rPr>
  </w:style>
  <w:style w:type="character" w:customStyle="1" w:styleId="1Char0">
    <w:name w:val="样式1 Char"/>
    <w:link w:val="10"/>
    <w:rsid w:val="00AA0C99"/>
    <w:rPr>
      <w:rFonts w:ascii="楷体" w:eastAsia="黑体" w:hAnsi="楷体" w:cs="Times New Roman"/>
      <w:sz w:val="28"/>
      <w:szCs w:val="30"/>
    </w:rPr>
  </w:style>
  <w:style w:type="paragraph" w:customStyle="1" w:styleId="10">
    <w:name w:val="样式1"/>
    <w:basedOn w:val="a"/>
    <w:link w:val="1Char0"/>
    <w:qFormat/>
    <w:rsid w:val="00AA0C99"/>
    <w:pPr>
      <w:spacing w:line="360" w:lineRule="auto"/>
      <w:jc w:val="center"/>
    </w:pPr>
    <w:rPr>
      <w:rFonts w:ascii="楷体" w:eastAsia="黑体" w:hAnsi="楷体"/>
      <w:sz w:val="28"/>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徐晓明</dc:creator>
  <cp:keywords/>
  <dc:description/>
  <cp:lastModifiedBy>Administrator</cp:lastModifiedBy>
  <cp:revision>9</cp:revision>
  <dcterms:created xsi:type="dcterms:W3CDTF">2017-11-10T03:16:00Z</dcterms:created>
  <dcterms:modified xsi:type="dcterms:W3CDTF">2018-01-03T12:56:00Z</dcterms:modified>
</cp:coreProperties>
</file>